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45F4" w14:textId="24E94574" w:rsidR="004E1664" w:rsidRDefault="00F804CF">
      <w:pPr>
        <w:pStyle w:val="Cmsor1"/>
        <w:spacing w:line="276" w:lineRule="auto"/>
      </w:pPr>
      <w:r>
        <w:t>Szerzői útmutató</w:t>
      </w:r>
      <w:r w:rsidR="005F6377">
        <w:t xml:space="preserve"> </w:t>
      </w:r>
      <w:r w:rsidR="00697060">
        <w:t xml:space="preserve">a </w:t>
      </w:r>
      <w:r w:rsidR="00CD7DE5">
        <w:t>3rd</w:t>
      </w:r>
      <w:r w:rsidR="00697060" w:rsidRPr="00697060">
        <w:t xml:space="preserve"> Ybl Conference on Built Environment</w:t>
      </w:r>
      <w:r w:rsidR="002A485C">
        <w:t xml:space="preserve"> előadóinak</w:t>
      </w:r>
    </w:p>
    <w:p w14:paraId="037345F5" w14:textId="77777777" w:rsidR="004E1664" w:rsidRDefault="004E1664">
      <w:pPr>
        <w:spacing w:line="276" w:lineRule="auto"/>
      </w:pPr>
    </w:p>
    <w:p w14:paraId="037345F6" w14:textId="77777777" w:rsidR="004E1664" w:rsidRDefault="00F804CF">
      <w:pPr>
        <w:spacing w:line="276" w:lineRule="auto"/>
      </w:pPr>
      <w:r>
        <w:rPr>
          <w:b/>
        </w:rPr>
        <w:t>Célok és tematikák</w:t>
      </w:r>
    </w:p>
    <w:p w14:paraId="037345F7" w14:textId="3836F18F" w:rsidR="004E1664" w:rsidRDefault="00F804CF">
      <w:pPr>
        <w:spacing w:line="276" w:lineRule="auto"/>
      </w:pPr>
      <w:r>
        <w:t xml:space="preserve">A Régi-új Magyar Építőművészet folyóirat az irodalmi és tudományos igényű épület-recenziókat, esszéket, az építészet tudományos eredményeit bemutató eredeti tanulmányokat, kéziratokat, építészeti vagy az építészet társterületeivel foglalkozó könyvbemutatókat fogad be közlésre. Az Utóirat melléklet építészetelmélet és -történet, örökség- és műemlékvédelem, rehabilitáció, rekonstrukció, revitalizáció, belsőépítészet, design, urbanisztika, szakrális építészet, tájépítészet, környezetpszichológia, köztérfejlesztés, építéstudomány, mérnöki szerkezetek, környezettudatos, fenntartható építészet, építészeti innováció, társművészetek és társtudományok, innovatív technológiai újdonságok, az épített környezettel kapcsolatos filozófiai, térelméleti, esztétikai, ökológiai és szakmai és szakmapolitikai tárgyú eredeti tanulmányokat  fogad be közlésre. A beküldött kéziratok közléséről lektori véleményezés alapján a főszerkesztő dönt. </w:t>
      </w:r>
    </w:p>
    <w:p w14:paraId="037345F8" w14:textId="77777777" w:rsidR="004E1664" w:rsidRDefault="004E1664">
      <w:pPr>
        <w:spacing w:line="276" w:lineRule="auto"/>
      </w:pPr>
    </w:p>
    <w:p w14:paraId="037345F9" w14:textId="77777777" w:rsidR="004E1664" w:rsidRDefault="00F804CF">
      <w:pPr>
        <w:spacing w:line="276" w:lineRule="auto"/>
      </w:pPr>
      <w:r>
        <w:rPr>
          <w:b/>
        </w:rPr>
        <w:t>Kéziratok benyújtása</w:t>
      </w:r>
    </w:p>
    <w:p w14:paraId="037345FB" w14:textId="79C9CEA3" w:rsidR="004E1664" w:rsidRDefault="00F804CF">
      <w:pPr>
        <w:spacing w:line="276" w:lineRule="auto"/>
      </w:pPr>
      <w:r>
        <w:t>A kéziratok terjedelmét minden esetben egyeztetni szükséges a szerkesztőkkel. Az Utóiratban közölt tanulmányok tipikus terjedelme 10</w:t>
      </w:r>
      <w:r w:rsidR="00CD7EE5">
        <w:t>000</w:t>
      </w:r>
      <w:r>
        <w:t xml:space="preserve"> és 25000 car. (szóközzel együtt) között mozog.</w:t>
      </w:r>
    </w:p>
    <w:p w14:paraId="037345FC" w14:textId="77777777" w:rsidR="004E1664" w:rsidRDefault="00F804CF">
      <w:pPr>
        <w:spacing w:line="276" w:lineRule="auto"/>
      </w:pPr>
      <w:r>
        <w:t>A tanulmányokhoz kérünk magyar és angol nyelvű absztrakt-ot is benyújtani 800-1500 car. terjedelemben.</w:t>
      </w:r>
    </w:p>
    <w:p w14:paraId="037345FD" w14:textId="77777777" w:rsidR="004E1664" w:rsidRDefault="004E1664">
      <w:pPr>
        <w:spacing w:line="276" w:lineRule="auto"/>
      </w:pPr>
    </w:p>
    <w:p w14:paraId="037345FE" w14:textId="77777777" w:rsidR="004E1664" w:rsidRDefault="00F804CF">
      <w:pPr>
        <w:spacing w:line="276" w:lineRule="auto"/>
      </w:pPr>
      <w:r>
        <w:rPr>
          <w:b/>
        </w:rPr>
        <w:t>Hivatkozások</w:t>
      </w:r>
    </w:p>
    <w:p w14:paraId="037345FF" w14:textId="77777777" w:rsidR="004E1664" w:rsidRDefault="00F804CF">
      <w:pPr>
        <w:spacing w:line="276" w:lineRule="auto"/>
      </w:pPr>
      <w:r>
        <w:t>A szövegben felhasznált forrásokat, más szerzők munkáit lábjegyzetekben kérjük hivatkozni. Első alkalommal teljes formában kérjük a hivatkozást, ugyanazon szerző újbóli hivatkozását rövidítve, szerző, évszám jelöléssel.</w:t>
      </w:r>
    </w:p>
    <w:p w14:paraId="03734600" w14:textId="77777777" w:rsidR="004E1664" w:rsidRDefault="004E1664">
      <w:pPr>
        <w:spacing w:line="276" w:lineRule="auto"/>
      </w:pPr>
    </w:p>
    <w:p w14:paraId="03734601" w14:textId="77777777" w:rsidR="004E1664" w:rsidRDefault="00F804CF">
      <w:pPr>
        <w:spacing w:line="276" w:lineRule="auto"/>
      </w:pPr>
      <w:r>
        <w:t>Példák:</w:t>
      </w:r>
    </w:p>
    <w:p w14:paraId="03734602" w14:textId="77777777" w:rsidR="004E1664" w:rsidRDefault="00F804CF">
      <w:pPr>
        <w:spacing w:line="276" w:lineRule="auto"/>
      </w:pPr>
      <w:r>
        <w:rPr>
          <w:b/>
        </w:rPr>
        <w:t>Könyv</w:t>
      </w:r>
    </w:p>
    <w:p w14:paraId="03734603" w14:textId="77777777" w:rsidR="004E1664" w:rsidRDefault="00F804CF">
      <w:pPr>
        <w:spacing w:line="276" w:lineRule="auto"/>
      </w:pPr>
      <w:r>
        <w:t>Szegő György: Teremtés és átváltozás. HG &amp; Társa Kiadó, Budapest, 1996. 115.</w:t>
      </w:r>
    </w:p>
    <w:p w14:paraId="03734604" w14:textId="77777777" w:rsidR="004E1664" w:rsidRDefault="00F804CF">
      <w:pPr>
        <w:spacing w:line="276" w:lineRule="auto"/>
      </w:pPr>
      <w:r>
        <w:t>Crook, J. Mordaunt: William Burges and the High Victorian Dream. The University of</w:t>
      </w:r>
    </w:p>
    <w:p w14:paraId="03734605" w14:textId="77777777" w:rsidR="004E1664" w:rsidRDefault="00F804CF">
      <w:pPr>
        <w:spacing w:line="276" w:lineRule="auto"/>
      </w:pPr>
      <w:r>
        <w:t>Chicago Press, 1981. 316.</w:t>
      </w:r>
    </w:p>
    <w:p w14:paraId="03734606" w14:textId="77777777" w:rsidR="004E1664" w:rsidRDefault="004E1664">
      <w:pPr>
        <w:spacing w:line="276" w:lineRule="auto"/>
      </w:pPr>
    </w:p>
    <w:p w14:paraId="03734607" w14:textId="77777777" w:rsidR="004E1664" w:rsidRDefault="00F804CF">
      <w:pPr>
        <w:spacing w:line="276" w:lineRule="auto"/>
      </w:pPr>
      <w:r>
        <w:rPr>
          <w:b/>
        </w:rPr>
        <w:t>Folyóirat</w:t>
      </w:r>
    </w:p>
    <w:p w14:paraId="03734608" w14:textId="77777777" w:rsidR="004E1664" w:rsidRDefault="00F804CF">
      <w:pPr>
        <w:spacing w:line="276" w:lineRule="auto"/>
      </w:pPr>
      <w:r>
        <w:t>Crompton, Andrew: The architecture of multifaith spaces: God leaves the building.</w:t>
      </w:r>
    </w:p>
    <w:p w14:paraId="03734609" w14:textId="77777777" w:rsidR="004E1664" w:rsidRDefault="00F804CF">
      <w:pPr>
        <w:spacing w:line="276" w:lineRule="auto"/>
      </w:pPr>
      <w:r>
        <w:t>The Journal of Architecture, Vol. 18, No. 4, 2013, 474–496, 493.</w:t>
      </w:r>
    </w:p>
    <w:p w14:paraId="0373460A" w14:textId="77777777" w:rsidR="004E1664" w:rsidRDefault="00F804CF">
      <w:pPr>
        <w:spacing w:line="276" w:lineRule="auto"/>
      </w:pPr>
      <w:r>
        <w:t>Szepesi György: A garázsokkal szerencsém volt, Népszabadság, 1975/33., 79.</w:t>
      </w:r>
    </w:p>
    <w:p w14:paraId="0373460B" w14:textId="77777777" w:rsidR="004E1664" w:rsidRDefault="00F804CF">
      <w:pPr>
        <w:spacing w:line="276" w:lineRule="auto"/>
      </w:pPr>
      <w:r>
        <w:t>Sonnenberg Emil Munkácsy-utczai bérpalotája. Magyar Építőművészet – Magyar Pályázatok 1906/4. 1. 25-29.</w:t>
      </w:r>
    </w:p>
    <w:p w14:paraId="0373460C" w14:textId="77777777" w:rsidR="004E1664" w:rsidRDefault="004E1664">
      <w:pPr>
        <w:spacing w:line="276" w:lineRule="auto"/>
      </w:pPr>
    </w:p>
    <w:p w14:paraId="0373460D" w14:textId="77777777" w:rsidR="004E1664" w:rsidRDefault="00F804CF">
      <w:pPr>
        <w:spacing w:line="276" w:lineRule="auto"/>
      </w:pPr>
      <w:r>
        <w:rPr>
          <w:b/>
        </w:rPr>
        <w:t>Tanulmánykötet, antológia:</w:t>
      </w:r>
    </w:p>
    <w:p w14:paraId="0373460E" w14:textId="77777777" w:rsidR="004E1664" w:rsidRDefault="00F804CF">
      <w:pPr>
        <w:spacing w:line="276" w:lineRule="auto"/>
      </w:pPr>
      <w:r>
        <w:t>Eco, Umberto: Function and Sign: The Semiotics of Architecture In: Leach, Neil (szerk):</w:t>
      </w:r>
    </w:p>
    <w:p w14:paraId="0373460F" w14:textId="77777777" w:rsidR="004E1664" w:rsidRDefault="00F804CF">
      <w:pPr>
        <w:spacing w:line="276" w:lineRule="auto"/>
      </w:pPr>
      <w:r>
        <w:t>Rethinking Architecture, A reader in cultural theory. Routledge, 1997, 173–190, 179.</w:t>
      </w:r>
    </w:p>
    <w:p w14:paraId="03734610" w14:textId="77777777" w:rsidR="004E1664" w:rsidRDefault="004E1664"/>
    <w:sectPr w:rsidR="004E1664">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0">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1664"/>
    <w:rsid w:val="000C3BE4"/>
    <w:rsid w:val="00147B5E"/>
    <w:rsid w:val="002A485C"/>
    <w:rsid w:val="002C5EB6"/>
    <w:rsid w:val="002F7234"/>
    <w:rsid w:val="004E1664"/>
    <w:rsid w:val="00506E44"/>
    <w:rsid w:val="005F6377"/>
    <w:rsid w:val="00697060"/>
    <w:rsid w:val="007F4AAA"/>
    <w:rsid w:val="00CD7DE5"/>
    <w:rsid w:val="00CD7EE5"/>
    <w:rsid w:val="00DE12F0"/>
    <w:rsid w:val="00F804CF"/>
    <w:rsid w:val="00FF6F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45F4"/>
  <w15:docId w15:val="{CC8FDB3F-C209-4B06-B0EC-3B1158A9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Lucida Sans"/>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Cmsor"/>
    <w:uiPriority w:val="9"/>
    <w:qFormat/>
    <w:pP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cs="0"/>
      <w:sz w:val="40"/>
      <w:szCs w:val="40"/>
    </w:rPr>
  </w:style>
  <w:style w:type="paragraph" w:customStyle="1" w:styleId="Cmsor">
    <w:name w:val="Címsor"/>
    <w:basedOn w:val="Norml"/>
    <w:next w:val="Szvegtrzs"/>
    <w:qFormat/>
    <w:pPr>
      <w:keepNext/>
      <w:spacing w:before="240" w:after="120"/>
    </w:pPr>
    <w:rPr>
      <w:rFonts w:ascii="Arial" w:eastAsia="Microsoft YaHei" w:hAnsi="Arial"/>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customStyle="1" w:styleId="Normltblzat1">
    <w:name w:val="Normál táblázat1"/>
    <w:qFormat/>
    <w:pPr>
      <w:spacing w:line="276" w:lineRule="auto"/>
    </w:pPr>
    <w:rPr>
      <w:rFonts w:ascii="Arial" w:eastAsia="Arial" w:hAnsi="Arial" w:cs="Arial"/>
      <w:sz w:val="22"/>
      <w:szCs w:val="22"/>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2014</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Botzheim</dc:creator>
  <dc:description/>
  <cp:lastModifiedBy>Bálint Botzheim</cp:lastModifiedBy>
  <cp:revision>8</cp:revision>
  <dcterms:created xsi:type="dcterms:W3CDTF">2023-05-23T11:20:00Z</dcterms:created>
  <dcterms:modified xsi:type="dcterms:W3CDTF">2025-05-09T12:04:00Z</dcterms:modified>
  <dc:language>hu-HU</dc:language>
</cp:coreProperties>
</file>